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8" w:rsidRDefault="006C5C2B" w:rsidP="009171B8">
      <w:pPr>
        <w:pStyle w:val="Titel"/>
        <w:rPr>
          <w:rFonts w:ascii="Verdana" w:hAnsi="Verdana"/>
          <w:i/>
          <w:iCs/>
          <w:color w:val="808080" w:themeColor="text1" w:themeTint="7F"/>
        </w:rPr>
      </w:pPr>
      <w:r w:rsidRPr="006C5C2B">
        <w:rPr>
          <w:rFonts w:ascii="Verdana" w:hAnsi="Verdana"/>
        </w:rPr>
        <w:t>Grünes Gold</w:t>
      </w:r>
      <w:r w:rsidR="009171B8" w:rsidRPr="009171B8">
        <w:rPr>
          <w:rFonts w:ascii="Verdana" w:hAnsi="Verdana"/>
          <w:i/>
          <w:iCs/>
          <w:color w:val="808080" w:themeColor="text1" w:themeTint="7F"/>
        </w:rPr>
        <w:t xml:space="preserve"> </w:t>
      </w:r>
    </w:p>
    <w:p w:rsidR="009171B8" w:rsidRPr="009171B8" w:rsidRDefault="009171B8" w:rsidP="009171B8">
      <w:pPr>
        <w:pStyle w:val="Titel"/>
        <w:rPr>
          <w:rFonts w:ascii="Verdana" w:hAnsi="Verdana"/>
          <w:iCs/>
          <w:sz w:val="32"/>
          <w:szCs w:val="32"/>
        </w:rPr>
      </w:pPr>
      <w:r w:rsidRPr="009171B8">
        <w:rPr>
          <w:rFonts w:ascii="Verdana" w:hAnsi="Verdana"/>
          <w:iCs/>
          <w:sz w:val="32"/>
          <w:szCs w:val="32"/>
        </w:rPr>
        <w:t>Heinz Jahn – Christoph Rust</w:t>
      </w:r>
    </w:p>
    <w:p w:rsidR="006C5C2B" w:rsidRPr="006C5C2B" w:rsidRDefault="006C5C2B" w:rsidP="00443AFC">
      <w:pPr>
        <w:spacing w:line="360" w:lineRule="auto"/>
        <w:rPr>
          <w:rStyle w:val="SchwacheHervorhebung"/>
          <w:rFonts w:ascii="Verdana" w:hAnsi="Verdana"/>
        </w:rPr>
      </w:pPr>
      <w:r w:rsidRPr="006C5C2B">
        <w:rPr>
          <w:rStyle w:val="SchwacheHervorhebung"/>
          <w:rFonts w:ascii="Verdana" w:hAnsi="Verdana"/>
        </w:rPr>
        <w:t>Vernissageeinführung | Kunstverein Barsinghausen |</w:t>
      </w:r>
      <w:r w:rsidR="0084787D">
        <w:rPr>
          <w:rStyle w:val="SchwacheHervorhebung"/>
          <w:rFonts w:ascii="Verdana" w:hAnsi="Verdana"/>
        </w:rPr>
        <w:t xml:space="preserve"> 12.</w:t>
      </w:r>
      <w:r>
        <w:rPr>
          <w:rStyle w:val="SchwacheHervorhebung"/>
          <w:rFonts w:ascii="Verdana" w:hAnsi="Verdana"/>
        </w:rPr>
        <w:t>09.</w:t>
      </w:r>
      <w:r w:rsidRPr="006C5C2B">
        <w:rPr>
          <w:rStyle w:val="SchwacheHervorhebung"/>
          <w:rFonts w:ascii="Verdana" w:hAnsi="Verdana"/>
        </w:rPr>
        <w:t>– 12.</w:t>
      </w:r>
      <w:r>
        <w:rPr>
          <w:rStyle w:val="SchwacheHervorhebung"/>
          <w:rFonts w:ascii="Verdana" w:hAnsi="Verdana"/>
        </w:rPr>
        <w:t>10.</w:t>
      </w:r>
      <w:r w:rsidRPr="006C5C2B">
        <w:rPr>
          <w:rStyle w:val="SchwacheHervorhebung"/>
          <w:rFonts w:ascii="Verdana" w:hAnsi="Verdana"/>
        </w:rPr>
        <w:t>2014</w:t>
      </w:r>
    </w:p>
    <w:p w:rsidR="000A6A00" w:rsidRDefault="000A6A00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</w:rPr>
      </w:pPr>
    </w:p>
    <w:p w:rsidR="009A696B" w:rsidRDefault="009A696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</w:rPr>
        <w:sectPr w:rsidR="009A696B" w:rsidSect="00DA19A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C5C2B" w:rsidRPr="009A696B" w:rsidRDefault="0084787D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I</w:t>
      </w:r>
    </w:p>
    <w:p w:rsidR="0084787D" w:rsidRPr="009A696B" w:rsidRDefault="0084787D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Über hundert Jahre hin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bis 1957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war das schwarze </w:t>
      </w:r>
      <w:proofErr w:type="spellStart"/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Deister</w:t>
      </w:r>
      <w:proofErr w:type="spellEnd"/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-G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old, die Steink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le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wirtschaftliche Grundl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 Barsinghausens. Die überwachsene Abraumha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 am Stad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rand zeugt noch davon – wie der Au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stellungtitel des Kunstve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eins Barsin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</w:t>
      </w:r>
      <w:r w:rsidR="00C07FF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hausen für die Ausstellung der beiden Künstler Heinz Jahn und Christoph Rust: Grünes Gold.</w:t>
      </w:r>
    </w:p>
    <w:p w:rsidR="009A696B" w:rsidRDefault="00C07FF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Wer nun </w:t>
      </w:r>
      <w:proofErr w:type="gram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dem</w:t>
      </w:r>
      <w:proofErr w:type="gram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Einladung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text folgend designte Gr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bennosta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gie erwartet, der wird enttäuscht, sobald er den „Raum für Kunst“ b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treten hat. Zwar erinnert die mehrteil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 Installation von C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hristoph Rust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„Tiefe“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die in den Raum hin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einführt an Schachtquerschnitte, die zu einem Conta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ner führen, der verdeckt hinter 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nem </w:t>
      </w:r>
      <w:proofErr w:type="spell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natur-lianenhaften</w:t>
      </w:r>
      <w:proofErr w:type="spell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Vorhang künstl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iches Licht durc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scheinen lässt,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aber selbst diese Assoziationen ve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schwimmen in der Überd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ckung so, dass am Ende mehr der Eindruck einer </w:t>
      </w:r>
    </w:p>
    <w:p w:rsidR="009A696B" w:rsidRDefault="009A696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</w:p>
    <w:p w:rsidR="00C07FFB" w:rsidRPr="009A696B" w:rsidRDefault="00C07FF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Fluch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linie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proofErr w:type="spellStart"/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‘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proofErr w:type="spellEnd"/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Unbekannt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e, </w:t>
      </w:r>
      <w:proofErr w:type="spellStart"/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in‘s</w:t>
      </w:r>
      <w:proofErr w:type="spellEnd"/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A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ndere übrig bleibt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statt der Einl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dung in die Bergba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welt. 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Lediglich die mehrteilige Arbeit grünes Gold, mit den bemalten </w:t>
      </w:r>
      <w:proofErr w:type="spellStart"/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Brickets</w:t>
      </w:r>
      <w:proofErr w:type="spellEnd"/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verweist s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ehr d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rekt auf den Ausstellungs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el. 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Heinz Jahn und Chri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toph Rust int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nieren kein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:</w:t>
      </w:r>
      <w:r w:rsidR="004149FE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„Glück auf, Glück auf, der Steiger kommt“. </w:t>
      </w:r>
    </w:p>
    <w:p w:rsidR="009A696B" w:rsidRDefault="004149FE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Beide haben ihre eig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nen Arbeiten ausg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stellt. Aber 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nicht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nur der grüne Vries, ebe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falls gestaltet wie ein Grubenplan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verbindet die beiden künstlerischen Pos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tionen.</w:t>
      </w:r>
      <w:r w:rsidR="00BE6E46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Beide Künstler ve</w:t>
      </w:r>
      <w:r w:rsidR="00BE6E46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BE6E46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bindet auch ihr S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piel mit der Natur und dem Auge des </w:t>
      </w:r>
      <w:r w:rsidR="00BE6E46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Betrachters.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Natur wird verarbeitet und verwandelt, </w:t>
      </w:r>
      <w:proofErr w:type="spellStart"/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transfomiert</w:t>
      </w:r>
      <w:proofErr w:type="spellEnd"/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– und das führt dann doch nahe heran an den Bergbau fossiler Stoffe: Kohle ist gewande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tes Pflanzenmaterial; Ber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bau fördert ans Licht, wa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 unter der Erdoberfl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ä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che ist; m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anchmal lassen sich Strukturendes Pflanzlichen im Fö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443AF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dergut entdecken, </w:t>
      </w:r>
    </w:p>
    <w:p w:rsidR="009A696B" w:rsidRDefault="009A696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</w:p>
    <w:p w:rsidR="009A696B" w:rsidRDefault="00443AFC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dann wieder </w:t>
      </w:r>
      <w:r w:rsidR="00BE0F0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nicht; der A</w:t>
      </w:r>
      <w:r w:rsidR="00BE0F0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</w:t>
      </w:r>
      <w:r w:rsidR="00BE0F0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raum kann auge</w:t>
      </w:r>
      <w:r w:rsidR="00BE0F0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BE0F0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fälliger sein als das Fördergut.</w:t>
      </w:r>
    </w:p>
    <w:p w:rsidR="009A696B" w:rsidRDefault="009A696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</w:p>
    <w:p w:rsidR="004149FE" w:rsidRPr="009A696B" w:rsidRDefault="004149FE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II</w:t>
      </w:r>
    </w:p>
    <w:p w:rsidR="004149FE" w:rsidRPr="009A696B" w:rsidRDefault="004149FE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Christoph Rust</w:t>
      </w:r>
      <w:r w:rsidR="00BE0F0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hat mehrere Werkgruppen zusamme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gestellt in dieser Ausste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9171B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lung. 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In Spanien bei einer Re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se mit Freunden, man sieht sie im ersten Bi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ld, ist die Gruppe entstanden, „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Das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Schöne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ist ein scheues Wild“ (eine Persiflage auf den Spruch von der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„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Wah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heit als scheues Reh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“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). Rust hat Fundstücke, wie den Granat, Strukturen, Abdr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ü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cke aus der Natur aufg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griffen und gemalt. Er hat sie verwandelt und aus dem eigenen Erinnern lo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gelassen für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den Betrac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ter. Äh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lich seine Mallorca-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Reihe. Auf dem ersten Bild noch sehr realistisch „a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gemalt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“ Flaschenve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schlüsse, Dosend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ckel – Abfall wegg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9D3C8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worfen ins Gestrüpp. Von Rust werden sie aufgesammelt, 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schon durchs Malen verwa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delt 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und beginnen dann einen Tanz der Formen und Fo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mati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nen. Die wie Polaroid wirkenden „Details“, sind gar keine Fotos, aber äh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lich wie bei den ersten B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lichtungsef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ekten direkt auf Fotopapier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hat Rust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Pfla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zenteile aus dem Garten geno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men, übersprüht, weggezogen, Natur nicht abgebildet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sondern tran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formiert, versteckt, dem direkten Entdecken entz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gen – eben verwa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B34712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delt.</w:t>
      </w:r>
    </w:p>
    <w:p w:rsidR="006B741C" w:rsidRDefault="00B34712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Auch die großen Arbe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ten: das Bergplateau, das Schichtenbild auf der Rüc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seite der Box,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das „Deu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sche Prisma“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–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sie sind keine Abbi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der, sie sind Suchbi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der. Das liegt auch am Entstehungsprozess. Christoph Rust ist 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ner der übermalt, dann wieder fre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legt; häufig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erkennen Sie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bei genauerem Hi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schauen tieferliegende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älte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Stru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turen, Farbreste, Abbi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dungsmuster. Eine alte Druckletter aus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Korea hat er so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in ein plastisches O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jekt („Hochdruc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gebiet“) verwandelt. Alles das ist nicht Collage. Das ist das verblüffende bei vieler se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ner Arbeiten: Rusts Flac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ware hat eine solche Vie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schichtigkeit und Struktur, dass sie dreidimensionale 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fekte generiert. Das mag auch daher rü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ren, dass Christoph Rust als Maler 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Meisterschüler des Bildha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ers Ernst Her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manns, Pr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fessor der Akademie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in Münster, war. Malerei und Bildhauerei kommen z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sammen und das wird dann besonders deu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lich in seiner Raum und Lichtinstallation. Malen ist der Versuch das Licht zu fixieren und zum Erzählen zu bringen. Das gelingt Rust. Aber nicht indem er fertige Geschic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ten abliefert. Seine N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arrat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on ist die Narration des 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Betrachters, er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der B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trachter, 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ve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wandelt die visuellen Anstöße in Erzä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lungen. Christoph Rust schürft in der Natur, in seinem eigenen künstler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157F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schen Bergwerk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bil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lich gesprochen: er macht aus dem Kohleabbau die Br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ketts – heizen müssen a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dere. Müssen die Betrac</w:t>
      </w:r>
      <w:r w:rsidR="006B741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ter.</w:t>
      </w:r>
    </w:p>
    <w:p w:rsidR="009A696B" w:rsidRDefault="009A696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</w:p>
    <w:p w:rsidR="00B34712" w:rsidRPr="009A696B" w:rsidRDefault="006B741C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III</w:t>
      </w:r>
    </w:p>
    <w:p w:rsidR="006B741C" w:rsidRPr="009A696B" w:rsidRDefault="006B741C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Heinz Jahn 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wird 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mig zumute. Narrationen, 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zählungen, </w:t>
      </w:r>
      <w:proofErr w:type="spell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Konkretionen</w:t>
      </w:r>
      <w:proofErr w:type="spell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. Wenn er eines nicht mag, dann das. Nur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ungern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zählt er von seiner Herkunft (beide sind in und bei Lei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p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zig geboren), nur widerwi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lig von sei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nem 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eben in Frankreich und Ha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burg; und was seine Bilder b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deuten, erzählen…?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Er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möchte keine Sinn</w:t>
      </w:r>
      <w:r w:rsidR="007F738F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-</w:t>
      </w:r>
      <w:proofErr w:type="spellStart"/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konstrukte</w:t>
      </w:r>
      <w:proofErr w:type="spellEnd"/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vorgeben.</w:t>
      </w:r>
    </w:p>
    <w:p w:rsidR="006B741C" w:rsidRPr="009A696B" w:rsidRDefault="006B741C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Heinz Jahn will das „Auge beschäftigen“ nicht den Verstand. Aber – und hier treffen sich die beiden Künstler 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– Natur, Licht, Fundstücke 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sind häufig Ausgangsgrößen se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ner Arbeiten. Nur das der erste Eindruck dann doch immer enttäuscht. Auf den er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ten Blick wirken seine Arbeiten klar, erkennbar, verstän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lich: Luftschla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gen an die Wand gehängt; B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ü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sche gefärbt; Linienmuster; Farbpunkte auf diversen Untergründen. Beim Nähe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kommen entziehen sie sic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h. Die Versammlung der B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ü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sche „P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arcours“ wird erst 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komplett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wenn der B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trachter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selbst den letzen off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nen Platz einnimmt. Die lebendigen Busc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formen wirken in der Farbe fixiert, vereist, Knospen in der 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Farbe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gefangen. Wie in Sü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europa die Obst- und Olive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baumstämme gekalkt werden gegen Schädlinge, weist der Farbauftrag, das Ve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stecken der Zweige hinter bemaltem Glas den Blick des Betrac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ters ab, verweigert die Vereinna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mung. Was auf den ersten Blick poetisch und beinahe roma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tisch wirkt – des Deutschen liebster Blick auf die Natur 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–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sperrt sich dem zweite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n Blick 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un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der A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näherung. Die leichte „Strömung“ aus gehä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mertem Lötzinn, wird schwer bei der Annäherung, beim Dechiffrieren des M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terials; die leichten „Luftl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nien“ sind farbe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schwer und materia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träge, wenn auch </w:t>
      </w:r>
      <w:proofErr w:type="spellStart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farbbunt</w:t>
      </w:r>
      <w:proofErr w:type="spellEnd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; „Mari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-</w:t>
      </w:r>
      <w:proofErr w:type="spellStart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age</w:t>
      </w:r>
      <w:proofErr w:type="spellEnd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“, die Arbeit wirkt in i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rer klaren diagonalen Struktur wie ein Sc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et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terlings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-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 oder botanischer Samme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kasten. Kommt man näher beunruhigt die pastose Farbschicht auf den Astst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ü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cken, scheint der übermalte Filz etwas zu verbe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gen. Bei „</w:t>
      </w:r>
      <w:proofErr w:type="spellStart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Nightbird</w:t>
      </w:r>
      <w:proofErr w:type="spellEnd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“  entdeck man von ferne einen Vogel, n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ä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herkomme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nd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entw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ckelt sich ein </w:t>
      </w:r>
      <w:proofErr w:type="spellStart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kartho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raphisches</w:t>
      </w:r>
      <w:proofErr w:type="spellEnd"/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L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niengeflecht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, ähnlich bei den „Quartiers“, die aus der Ferne und auf den ersten Blick wie 3-D-Stadtpläne wirken. Alle Arbeiten g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hen vom Material aus, nicht von der vorformulierten Ko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zept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on.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Anders als Rust beginnen die Arbeiten von Jahn keine Erzä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lungen. Er eröffnet Diskurse, Ause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nan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dersetzungen, v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langt Positionsbezi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hungen des Betrachters</w:t>
      </w:r>
      <w:r w:rsidR="0044355D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. 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„Erst das Draußen macht uns“, so Heinz Jahn. Selbs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werden ist Auseina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dersetzen und Abgrenzen, aber auch b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ziehen auf Andere und A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2B07BA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deres.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Wer das Fremde benennen kann, weiß, was 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das Eigene ist. Die krypt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sche Antwort auf die Frage: warum leben Sie in Fran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reich und Jahns Antwort: „Es ist eine Fremde, die ich akzeptieren kann“ zeigt diese Offenheit in der Au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einandersetzung, die Posit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on in Annahme 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  <w:u w:val="single"/>
        </w:rPr>
        <w:t>und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A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grenzungen. Heinz Jahns Arbeiten sind Förde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gut aus dem</w:t>
      </w:r>
      <w:r w:rsidR="00E4728C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eigenen, dem 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inneren Ber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werk, auch wenn die naturnahen Materialien a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F4456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deres vermuten lassen.</w:t>
      </w:r>
    </w:p>
    <w:p w:rsidR="0013420B" w:rsidRPr="009A696B" w:rsidRDefault="0013420B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</w:p>
    <w:p w:rsidR="00E4728C" w:rsidRPr="009A696B" w:rsidRDefault="00E4728C" w:rsidP="00443AFC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IV</w:t>
      </w:r>
    </w:p>
    <w:p w:rsidR="0013420B" w:rsidRPr="009A696B" w:rsidRDefault="0013420B" w:rsidP="00DD0C48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Das beide die Einde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tigkeit meiden, mag auch an der Herkunft in der DDR liegen. Durs Grünbein, 1962 in Dresden geboren, schreibt von den 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raumhalden und Mu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tern seiner Kindheit, was treffen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zu den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Posit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on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von Chri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toph Rust und Heinz Jahn führt:</w:t>
      </w:r>
    </w:p>
    <w:p w:rsidR="0013420B" w:rsidRPr="009A696B" w:rsidRDefault="000A6A00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Gezeugt im verwu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schenen </w:t>
      </w:r>
      <w:r w:rsidR="00DD0C48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Teil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eines La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des</w:t>
      </w:r>
    </w:p>
    <w:p w:rsidR="000A6A00" w:rsidRPr="009A696B" w:rsidRDefault="000A6A00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Mit Grenzen nach innen, war er Märchen g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wöhnt,</w:t>
      </w:r>
    </w:p>
    <w:p w:rsidR="000A6A00" w:rsidRPr="009A696B" w:rsidRDefault="000A6A00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Grausamkeit. </w:t>
      </w:r>
      <w:proofErr w:type="spell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Daß</w:t>
      </w:r>
      <w:proofErr w:type="spell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der Himmel zu hoch hing,</w:t>
      </w:r>
    </w:p>
    <w:p w:rsidR="000A6A00" w:rsidRPr="009A696B" w:rsidRDefault="000A6A00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Grund für die Kindheitsfi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ber, machte ihn platt.</w:t>
      </w:r>
    </w:p>
    <w:p w:rsidR="000A6A00" w:rsidRPr="009A696B" w:rsidRDefault="000A6A00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Später ließ es ihn kalt. Dicht wie die fen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ter</w:t>
      </w:r>
    </w:p>
    <w:p w:rsidR="000A6A00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Hielt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er dem Auße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raum stand, - o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h</w:t>
      </w:r>
      <w:r w:rsidR="000A6A00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 Ausblick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.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[…] Sein Biotop, früh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War ein riesiger Müllberg, von Bul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dozern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Aufgeworfen am Stadtrand. Ein M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növerfeld,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proofErr w:type="spell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lastRenderedPageBreak/>
        <w:t>Naßkalter</w:t>
      </w:r>
      <w:proofErr w:type="spell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Sand, übersät mit Autore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fen und Schrott,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Dazu ein schiller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 Teich, eine Einflu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schneide,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Ein dürres Wäl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chen. So bode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nah sah er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Den Lerchenflug aus der Perspe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tive des Wurms.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Bald konnte er 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sen. Und jeder 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lienthal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War ihm lieb, der bewies: leichter als Luft zu sein,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War no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mal. […]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Er war oft in G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danken dort oben, wo ein Triebwerk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Die Wo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ken </w:t>
      </w:r>
      <w:proofErr w:type="gram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fräste</w:t>
      </w:r>
      <w:proofErr w:type="gram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. </w:t>
      </w:r>
      <w:proofErr w:type="spellStart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Daß</w:t>
      </w:r>
      <w:proofErr w:type="spellEnd"/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 xml:space="preserve"> jedes Abseits sich selbst</w:t>
      </w:r>
    </w:p>
    <w:p w:rsidR="00DD0C48" w:rsidRPr="009A696B" w:rsidRDefault="00DD0C48" w:rsidP="009A696B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Das nächste war, gab se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nen Bl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cken Halt.</w:t>
      </w:r>
    </w:p>
    <w:p w:rsidR="00DD0C48" w:rsidRPr="009A696B" w:rsidRDefault="00DD0C48" w:rsidP="00DD0C48">
      <w:pPr>
        <w:spacing w:line="24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(Durs Grünbein: Fa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ten und Fallen, Fran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furt am Main (Suh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kamp) 1994, 58)</w:t>
      </w:r>
    </w:p>
    <w:p w:rsidR="004149FE" w:rsidRPr="009A696B" w:rsidRDefault="00E4728C" w:rsidP="00DD0C48">
      <w:pPr>
        <w:spacing w:line="360" w:lineRule="auto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In Barsinghausen zwei Pos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i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tionen, die sich in ihrer Gegensätzlichkeit aufeina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 beziehen und zusa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menfinden. Sie arbeiten mit dem Blick und Erleben des Betrachters. Sie nu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zen die Fundstücke von draußen für die Wegbeschreibungen des Weges in das und aus dem eigenen Inneren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. Sie de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u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ten mehr an, als dass sie erklären. Gerade das ve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lockt Tiefenbohru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gen, zu entdecken, zu graben, ei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zufahren um zu fö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r</w:t>
      </w:r>
      <w:r w:rsidR="0013420B"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dern. Eigene Geschichten im Fremden. Am Ende dann doch ein: Glück auf</w:t>
      </w:r>
      <w:r w:rsid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!</w:t>
      </w:r>
    </w:p>
    <w:p w:rsidR="00224B88" w:rsidRPr="009A696B" w:rsidRDefault="00224B88" w:rsidP="00224B88">
      <w:pPr>
        <w:spacing w:line="360" w:lineRule="auto"/>
        <w:jc w:val="right"/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</w:pP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Wilfried Köpke, Ha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</w:t>
      </w:r>
      <w:r w:rsidRPr="009A696B">
        <w:rPr>
          <w:rStyle w:val="SchwacheHervorhebung"/>
          <w:rFonts w:ascii="Verdana" w:hAnsi="Verdana"/>
          <w:i w:val="0"/>
          <w:color w:val="000000" w:themeColor="text1"/>
          <w:sz w:val="18"/>
          <w:szCs w:val="18"/>
        </w:rPr>
        <w:t>nover</w:t>
      </w:r>
    </w:p>
    <w:sectPr w:rsidR="00224B88" w:rsidRPr="009A696B" w:rsidSect="009A696B">
      <w:type w:val="continuous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C5C2B"/>
    <w:rsid w:val="000A6A00"/>
    <w:rsid w:val="0013420B"/>
    <w:rsid w:val="001F1367"/>
    <w:rsid w:val="002157F0"/>
    <w:rsid w:val="00224B88"/>
    <w:rsid w:val="002B07BA"/>
    <w:rsid w:val="004149FE"/>
    <w:rsid w:val="0044355D"/>
    <w:rsid w:val="00443AFC"/>
    <w:rsid w:val="00675626"/>
    <w:rsid w:val="006B741C"/>
    <w:rsid w:val="006C5C2B"/>
    <w:rsid w:val="007F738F"/>
    <w:rsid w:val="0084787D"/>
    <w:rsid w:val="009171B8"/>
    <w:rsid w:val="009A696B"/>
    <w:rsid w:val="009D3C80"/>
    <w:rsid w:val="00B34712"/>
    <w:rsid w:val="00BE0F0C"/>
    <w:rsid w:val="00BE6E46"/>
    <w:rsid w:val="00C07FFB"/>
    <w:rsid w:val="00DA19AC"/>
    <w:rsid w:val="00DD0C48"/>
    <w:rsid w:val="00E4728C"/>
    <w:rsid w:val="00F4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6C5C2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4C39-92C1-4444-8E9F-0002E41B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Köpke</dc:creator>
  <cp:lastModifiedBy>Wilfried Köpke</cp:lastModifiedBy>
  <cp:revision>2</cp:revision>
  <dcterms:created xsi:type="dcterms:W3CDTF">2014-09-14T14:33:00Z</dcterms:created>
  <dcterms:modified xsi:type="dcterms:W3CDTF">2014-09-14T14:33:00Z</dcterms:modified>
</cp:coreProperties>
</file>